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BayGMPP (Bayern) — Datenübermittlungen an öffentlich-rechtliche Religionsgesellschaften</w:t>
      </w:r>
    </w:p>
    <w:p>
      <w:r>
        <w:rPr>
          <w:color w:val="555555"/>
          <w:sz w:val="18"/>
        </w:rPr>
        <w:t xml:space="preserve">Bayerisches Gesetz zum Melde-, Pass- und Personalausweiswesen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Feststellung nach § 42 Abs. 5 Satz 2 BMG trifft das Staatsministerium des Innern, für Sport und Integration (Staatsministerium).</w:t>
      </w:r>
    </w:p>
    <w:p>
      <w:r>
        <w:t xml:space="preserve">(2) Die öffentlich-rechtlichen Religionsgesellschaften übermitteln den Meldebehörden Daten über die Begründung der Mitgliedschaft einer Person.</w:t>
      </w:r>
    </w:p>
    <w:p>
      <w:r>
        <w:rPr>
          <w:color w:val="555555"/>
          <w:sz w:val="17"/>
        </w:rPr>
        <w:t xml:space="preserve">Zitiervorschlag: Art 6 BayGMPP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https://recht.nulegal.eu/gesetze/BayGMPP/6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