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BayGMPP (Bayern) — Datenübermittlungen zwischen den Meldebehörden</w:t>
      </w:r>
    </w:p>
    <w:p>
      <w:r>
        <w:rPr>
          <w:color w:val="555555"/>
          <w:sz w:val="18"/>
        </w:rPr>
        <w:t xml:space="preserve">Bayerisches Gesetz zum Melde-, Pass- und Personalausweiswesen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Aufgaben einer Vermittlungsstelle im Sinn des § 2 Abs. 3 der Ersten Bundesmeldedatenübermittlungsverordnung nimmt die AKDB wahr. Sie führt insoweit die Bezeichnung „Vermittlungsstelle des Freistaates Bayern für das Meldewesen“.</w:t>
      </w:r>
    </w:p>
    <w:p>
      <w:r>
        <w:rPr>
          <w:color w:val="555555"/>
          <w:sz w:val="17"/>
        </w:rPr>
        <w:t xml:space="preserve">Zitiervorschlag: Art 5 BayGMPP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https://recht.nulegal.eu/gesetze/BayGMPP/5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