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BayGMPP (Bayern) — Besondere Meldescheine für Beherbergungsstätten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es zur Erhebung eines Fremdenverkehrs- oder Kurbeitrags oder einer Kurtaxe erforderlich ist, sind auf dem Meldeschein auch der Tag der tatsächlichen Abreise der betroffenen Person sowie des mitreisenden Ehegatten oder Lebenspartners zu erheben.</w:t>
      </w:r>
    </w:p>
    <w:p>
      <w:r>
        <w:t xml:space="preserve">(2) Behörden im Sinn des § 30 Abs. 4 Satz 3 Alternative 1 BMG sind die Meldebehörden.</w:t>
      </w:r>
    </w:p>
    <w:p>
      <w:r>
        <w:rPr>
          <w:color w:val="555555"/>
          <w:sz w:val="17"/>
        </w:rPr>
        <w:t xml:space="preserve">Zitiervorschlag: Art 4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