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BayGMPP (Bayern) — Verordnungsermächtigungen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ermächtigt, durch Rechtsverordnung</w:t>
      </w:r>
    </w:p>
    <w:p>
      <w:r>
        <w:t xml:space="preserve">1. das Muster der Meldescheine für die Meldungen nach § 17 Abs. 1 und 2 Satz 1 BMG und die Dauer der Aufbewahrung des jeweiligen Meldescheins bei der Meldebehörde zu regeln;</w:t>
      </w:r>
    </w:p>
    <w:p>
      <w:r>
        <w:t xml:space="preserve">2. das Muster der Meldebescheinigung nach § 18 Abs. 1 BMG und der Meldebestätigung nach § 24 Abs. 2 BMG zu regeln;</w:t>
      </w:r>
    </w:p>
    <w:p>
      <w:r>
        <w:t xml:space="preserve">3. das Muster der Meldescheine nach § 30 Abs. 1 BMG, die Anzahl der Ausfertigungen sowie das Nähere über die Bereithaltung für die Vorlage nach Art. 4 Abs. 1 zu regeln;</w:t>
      </w:r>
    </w:p>
    <w:p>
      <w:r>
        <w:t xml:space="preserve">4. für regelmäßige Übermittlungen durch die Meldebehörden nach Maßgabe der in §§ 34 und 36 BMG genannten Voraussetzungen sowie zur Aufgabenbestimmung und Führung des Datenbestands nach Art. 7</w:t>
      </w:r>
    </w:p>
    <w:p>
      <w:r>
        <w:t xml:space="preserve">a) die Datenempfänger,</w:t>
      </w:r>
    </w:p>
    <w:p>
      <w:r>
        <w:t xml:space="preserve">b) den Anlass und Zweck der Übermittlungen,</w:t>
      </w:r>
    </w:p>
    <w:p>
      <w:r>
        <w:t xml:space="preserve">c) die zu übermittelnden Daten und die zum Nachweis ihrer Richtigkeit erforderlichen Hinweise und</w:t>
      </w:r>
    </w:p>
    <w:p>
      <w:r>
        <w:t xml:space="preserve">d) das Nähere zu Art und Form des Verfahrens einschließlich des Übermittlungswegs</w:t>
      </w:r>
    </w:p>
    <w:p>
      <w:r>
        <w:t xml:space="preserve">festzulegen;</w:t>
      </w:r>
    </w:p>
    <w:p>
      <w:r>
        <w:t xml:space="preserve">5. die in § 55 Abs. 2 BMG umschriebenen Kompetenzen wahrzunehmen und das Nähere zu Art und Form des Verfahrens zu regeln;</w:t>
      </w:r>
    </w:p>
    <w:p>
      <w:r>
        <w:t xml:space="preserve">6. nach Maßgabe des § 38 Abs. 3 BMG die Verwendung von weiteren Auswahldaten festzulegen und weitere zum Abruf berechtigte Behörden im Sinn von § 39 Abs. 3 Satz 1 BMG zu bestimmen und</w:t>
      </w:r>
    </w:p>
    <w:p>
      <w:r>
        <w:t xml:space="preserve">7. für den Datenbestand nach Art. 10 Abs. 1 die von der AKDB zu speichernden Daten, Inhalt und Umfang der von den Pass- und Personalausweisbehörden der AKDB zu übermittelnden Daten sowie das Nähere zu Art und Form des Verfahrens für Betrieb und Nutzung einschließlich des Übermittlungswegs und abrufberechtigter Behörden festzulegen.</w:t>
      </w:r>
    </w:p>
    <w:p>
      <w:r>
        <w:rPr>
          <w:color w:val="555555"/>
          <w:sz w:val="17"/>
        </w:rPr>
        <w:t xml:space="preserve">Zitiervorschlag: Art 11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