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BayGMPP (Bayern) — Pass- und Personalausweiswesen</w:t>
      </w:r>
    </w:p>
    <w:p>
      <w:r>
        <w:rPr>
          <w:color w:val="555555"/>
          <w:sz w:val="18"/>
        </w:rPr>
        <w:t xml:space="preserve">Bayerisches Gesetz zum Melde-, Pass- und Personalausweiswesen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AKDB führt jeweils einen zentralen Pass- und Personalausweisregisterdatenbestand gemäß § 27a Satz 1 des Paßgesetzes (PaßG) in der am 1. September 2021 geltenden Fassung und § 34a Satz 1 des Personalausweisgesetzes (PAuswG) in der am 1. September 2021 geltenden Fassung.</w:t>
      </w:r>
    </w:p>
    <w:p>
      <w:r>
        <w:t xml:space="preserve">(2) Soweit Polizei, Staatsanwaltschaften, Gerichte oder Justizvollzugsanstalten die Pass- oder Personalausweisbehörden um Übermittlung von Daten ersuchen, gelten § 22 Abs. 3 Satz 4 und 5 PaßG und § 24 Abs. 3 Satz 4 und 5 PAuswG entsprechend.</w:t>
      </w:r>
    </w:p>
    <w:p>
      <w:r>
        <w:rPr>
          <w:color w:val="555555"/>
          <w:sz w:val="17"/>
        </w:rPr>
        <w:t xml:space="preserve">Zitiervorschlag: Art 10 BayGMPP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https://recht.nulegal.eu/gesetze/BayGMPP/10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