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BayGDIG (Bayern) — Erfassung und Führung von Geodaten</w:t>
      </w:r>
    </w:p>
    <w:p>
      <w:r>
        <w:rPr>
          <w:color w:val="555555"/>
          <w:sz w:val="18"/>
        </w:rPr>
        <w:t xml:space="preserve">Bayerisches Geodateninfrastrukturgesetz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Geodaten sind entsprechend Art. 12a des Vermessungs- und Katastergesetzes zu erfassen und zu führen.</w:t>
      </w:r>
    </w:p>
    <w:p>
      <w:r>
        <w:t xml:space="preserve">(2) Beziehen sich Geodaten auf einen Standort oder ein geografisches Gebiet nicht ausschließlich innerhalb Bayerns, stimmen die zuständigen Behörden deren Darstellung und Position mit den dort zuständigen Stellen ab.</w:t>
      </w:r>
    </w:p>
    <w:p>
      <w:r>
        <w:rPr>
          <w:color w:val="555555"/>
          <w:sz w:val="17"/>
        </w:rPr>
        <w:t xml:space="preserve">Zitiervorschlag: Art 3 BayGDIG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https://recht.nulegal.eu/gesetze/BayGDIG/3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