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BayGAPV (Bayern) — Informations-, Mitteilungs- und Bereitstellungspflichten</w:t>
      </w:r>
    </w:p>
    <w:p>
      <w:r>
        <w:rPr>
          <w:color w:val="555555"/>
          <w:sz w:val="18"/>
        </w:rPr>
        <w:t xml:space="preserve">Verordnung zur Umsetzung der Gemeinsamen Agrarpolitik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Informationspflichten nach § 3 Abs. 2 GAPKondG, die Mitteilungspflichten gemäß § 6 Abs. 2, § 10 Abs. 4, § 15 Abs. 3, § 30 und § 34 Abs. 5 des GAP-Direktzahlungen-Gesetzes (GAPDZG), § 27 Abs. 1 bis 3 und 5 der GAPInVeKoS-Verordnung (GAPInVeKoSV) sowie die Bereitstellungspflichten nach § 8 Abs. 1 und 2 GAPInVeKoSV obliegen dem Staatsministerium für Ernährung, Landwirtschaft, Forsten und Tourismus.</w:t>
      </w:r>
    </w:p>
    <w:p>
      <w:r>
        <w:rPr>
          <w:color w:val="555555"/>
          <w:sz w:val="17"/>
        </w:rPr>
        <w:t xml:space="preserve">Zitiervorschlag: § 7 BayGAPV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https://recht.nulegal.eu/gesetze/BayGAPV/7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