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BayFwG (Bayern) — Feuerwehrkommandant</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Feuerwehrkommandant hat für die Einsatzbereitschaft der Freiwilligen Feuerwehr zu sorgen. Er leitet ihre Einsätze nach Maßgabe des Art. 18 Abs. 2 und die Ausbildung, ernennt Mannschafts- und Führungsdienstgrade und berät die Gemeinde in Fragen des abwehrenden Brandschutzes und des technischen Hilfsdienstes. Ausbildungsveranstaltungen setzt er im Einvernehmen mit der Gemeinde fest, soweit Erstattungs- oder Entschädigungsansprüche entstehen können.</w:t>
      </w:r>
    </w:p>
    <w:p>
      <w:r>
        <w:t xml:space="preserve">(2) Der Feuerwehrkommandant wird in geheimer Wahl von den Feuerwehrdienst leistenden Mitgliedern der Freiwilligen Feuerwehr einschließlich der hauptberuflichen Kräfte und der Feuerwehranwärter, die das 16. Lebensjahr vollendet haben, aus ihrer Mitte auf sechs Jahre gewählt. Wird innerhalb von drei Monaten nach Ausscheiden des bisherigen Kommandanten kein geeigneter Nachfolger gewählt, hat die Gemeinde ein geeignetes Feuerwehrdienst leistendes Mitglied dieser Freiwilligen Feuerwehr zum Kommandanten zu bestellen. Die Bestellung endet mit der Bestätigung eines gewählten Feuerwehrkommandanten.</w:t>
      </w:r>
    </w:p>
    <w:p>
      <w:r>
        <w:t xml:space="preserve">(3) Zum Feuerwehrkommandanten kann nur gewählt oder bestellt werden, wer nach Vollendung des 18. Lebensjahres mindestens vier Jahre in einer Feuerwehr Dienst geleistet und die vorgeschriebenen Lehrgänge mit Erfolg besucht hat. Ausnahmsweise genügt es, wenn den Umständen nach anzunehmen ist, daß der Betreffende solche Lehrgänge in angemessener Frist mit Erfolg besuchen wird.</w:t>
      </w:r>
    </w:p>
    <w:p>
      <w:r>
        <w:t xml:space="preserve">(4) Der Gewählte bedarf der Bestätigung durch die Gemeinde im Benehmen mit dem Kreisbrandrat. Die Bestätigung ist zu versagen, wenn er fachlich, gesundheitlich oder aus sonstigen wichtigen Gründen ungeeignet ist.</w:t>
      </w:r>
    </w:p>
    <w:p>
      <w:r>
        <w:t xml:space="preserve">(5) Der Kommandant hat einen oder nach Festlegung der Gemeinde zwei Stellvertreter. Die Abs. 2 bis 4 gelten für den oder die Stellvertreter des Feuerwehrkommandanten entsprechend.</w:t>
      </w:r>
    </w:p>
    <w:p>
      <w:r>
        <w:rPr>
          <w:color w:val="555555"/>
          <w:sz w:val="17"/>
        </w:rPr>
        <w:t xml:space="preserve">Zitiervorschlag: Art 8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