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BayFwG (Bayern) — Verordnungsermächtigung</w:t>
      </w:r>
    </w:p>
    <w:p>
      <w:r>
        <w:rPr>
          <w:color w:val="555555"/>
          <w:sz w:val="18"/>
        </w:rPr>
        <w:t xml:space="preserve">Bayerisches Feuerwehrgesetz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wird ermächtigt, durch Rechtsverordnung die zur Durchführung dieses Gesetzes notwendigen Bestimmungen zu erlassen, insbesondere</w:t>
      </w:r>
    </w:p>
    <w:p>
      <w:r>
        <w:t xml:space="preserve">1. in den Fällen der Art. 9 Abs. 3, Art. 11 Abs. 4 Satz 3 und Art. 20 Abs. 3 Satz 3,</w:t>
      </w:r>
    </w:p>
    <w:p>
      <w:r>
        <w:t xml:space="preserve">2. über Unterbringung und erforderliche Einrichtungen, Gliederung, Führungs- und Mannschaftsdienstgrade, Mindeststärke und -ausrüstung sowie die Ausbildung der Feuerwehren,</w:t>
      </w:r>
    </w:p>
    <w:p>
      <w:r>
        <w:t xml:space="preserve">3. über Dienstgrad- und Funktionsabzeichen sowie die Schutz- und Dienstkleidung der Feuerwehren,</w:t>
      </w:r>
    </w:p>
    <w:p>
      <w:r>
        <w:t xml:space="preserve">4. über die Voraussetzungen für die Anerkennung von Werkfeuerwehren, die Verpflichtung zur Aufstellung, Ausrüstung und Unterhaltung von Werkfeuerwehren, ihre Dienstgrad- und Funktionsabzeichen sowie die Anforderungen an ihr Personal,</w:t>
      </w:r>
    </w:p>
    <w:p>
      <w:r>
        <w:t xml:space="preserve">5. über die Aufgaben der Kreisbrandräte,</w:t>
      </w:r>
    </w:p>
    <w:p>
      <w:r>
        <w:t xml:space="preserve">6. über die Einsatz- und Alarmierungsplanung der Feuerwehren,</w:t>
      </w:r>
    </w:p>
    <w:p>
      <w:r>
        <w:t xml:space="preserve">7. über die Einsatzdokumentation,</w:t>
      </w:r>
    </w:p>
    <w:p>
      <w:r>
        <w:t xml:space="preserve">8. über die Eignung zum Feuerwehrdienst,</w:t>
      </w:r>
    </w:p>
    <w:p>
      <w:r>
        <w:t xml:space="preserve">9. über die Zusammenarbeit mehrerer Gemeinden nach Art. 1 Abs. 4, wobei auch abweichende Regelungen zu den Bestimmungen der Art. 6 Abs. 2, Art. 13, 16 und 19 bis 21 getroffen werden können,</w:t>
      </w:r>
    </w:p>
    <w:p>
      <w:r>
        <w:t xml:space="preserve">10. Einzelheiten des Datenschutzes, insbesondere der Datenverarbeitung.</w:t>
      </w:r>
    </w:p>
    <w:p>
      <w:r>
        <w:rPr>
          <w:color w:val="555555"/>
          <w:sz w:val="17"/>
        </w:rPr>
        <w:t xml:space="preserve">Zitiervorschlag: Art 32 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https://recht.nulegal.eu/gesetze/BayFwG/32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