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BayFraktG (Bayern) — Verschwiegenheitspflicht der Fraktionsangestellten</w:t>
      </w:r>
    </w:p>
    <w:p>
      <w:r>
        <w:rPr>
          <w:color w:val="555555"/>
          <w:sz w:val="18"/>
        </w:rPr>
        <w:t xml:space="preserve">Bayerisches Fraktionsgesetz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Angestellte der Fraktionen sind, auch nach Beendigung ihres Beschäftigungsverhältnisses, verpflichtet, über die ihnen bei ihrer Tätigkeit bekanntgewordenen Angelegenheiten Verschwiegenheit zu bewahren. Dies gilt nicht für Tatsachen, die offenkundig sind oder ihrer Bedeutung nach keiner Geheimhaltung bedürfen.</w:t>
      </w:r>
    </w:p>
    <w:p>
      <w:r>
        <w:t xml:space="preserve">(2) Angestellte der Fraktionen dürfen, auch nach Beendigung ihres Beschäftigungsverhältnisses, ohne Genehmigung über solche Angelegenheiten weder vor Gericht noch außergerichtlich aussagen oder Erklärungen abgeben. Die Genehmigung erteilen die jeweiligen Fraktionsvorsitzenden.</w:t>
      </w:r>
    </w:p>
    <w:p>
      <w:r>
        <w:rPr>
          <w:color w:val="555555"/>
          <w:sz w:val="17"/>
        </w:rPr>
        <w:t xml:space="preserve">Zitiervorschlag: Art 9 BayFraktG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https://recht.nulegal.eu/gesetze/BayFraktG/9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