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BayFraktG (Bayern) — Buchführung</w:t>
      </w:r>
    </w:p>
    <w:p>
      <w:r>
        <w:rPr>
          <w:color w:val="555555"/>
          <w:sz w:val="18"/>
        </w:rPr>
        <w:t xml:space="preserve">Bayerisches Fraktionsgesetz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Erhalten die Fraktionen Geldleistungen nach Art. 2 und 3, so haben sie über diese getrennt nach Einnahmen und Ausgaben in der Gliederung des Art. 6 Abs. 3 Buch zu führen. Aus diesen Mitteln beschaffte oder vom Landtag überlassene Gegenstände sind zu kennzeichnen und in einem besonderen Nachweis aufzuführen (Inventarverzeichnis).</w:t>
      </w:r>
    </w:p>
    <w:p>
      <w:r>
        <w:rPr>
          <w:color w:val="555555"/>
          <w:sz w:val="17"/>
        </w:rPr>
        <w:t xml:space="preserve">Zitiervorschlag: Art 5 BayFraktG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https://recht.nulegal.eu/gesetze/BayFraktG/5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