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BayFraktG (Bayern) — Leistungen an Fraktionen</w:t>
      </w:r>
    </w:p>
    <w:p>
      <w:r>
        <w:rPr>
          <w:color w:val="555555"/>
          <w:sz w:val="18"/>
        </w:rPr>
        <w:t xml:space="preserve">Bayerisches Fraktionsgesetz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Wahrnehmung ihrer Aufgaben erhalten die Fraktionen Geldleistungen nach Art. 3 sowie sonstige Geldleistungen für bestimmte Zwecke, soweit dies der Haushaltsplan vorsieht. Der Landtag stellt den Fraktionen Räumlichkeiten zur Verfügung. Der Landtag kann den Fraktionen Gegenstände zur Nutzung überlassen. Die Geld- und Sachleistungen dürfen nicht für Zwecke der Parteien verwendet werden.</w:t>
      </w:r>
    </w:p>
    <w:p>
      <w:r>
        <w:rPr>
          <w:color w:val="555555"/>
          <w:sz w:val="17"/>
        </w:rPr>
        <w:t xml:space="preserve">Zitiervorschlag: Art 2 BayFraktG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https://recht.nulegal.eu/gesetze/BayFraktG/2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