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12 BayFraktG (Bayern) — Inkrafttreten</w:t>
      </w:r>
    </w:p>
    <w:p>
      <w:r>
        <w:rPr>
          <w:color w:val="555555"/>
          <w:sz w:val="18"/>
        </w:rPr>
        <w:t xml:space="preserve">Bayerisches Fraktionsgesetz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Dieses Gesetz tritt mit Wirkung vom 1. Januar 1992 in Kraft.</w:t>
      </w:r>
    </w:p>
    <w:p>
      <w:r>
        <w:rPr>
          <w:color w:val="555555"/>
          <w:sz w:val="17"/>
        </w:rPr>
        <w:t xml:space="preserve">Zitiervorschlag: Art 12 BayFraktG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https://recht.nulegal.eu/gesetze/BayFraktG/12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