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BayFoG (Bayern) — Stellung im Rechtsverkehr</w:t>
      </w:r>
    </w:p>
    <w:p>
      <w:r>
        <w:rPr>
          <w:color w:val="555555"/>
          <w:sz w:val="18"/>
        </w:rPr>
        <w:t xml:space="preserve">BayernFonds- und Finanzagentur-Gesetz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Fonds ist nicht rechtsfähig. Er kann unter seinem Namen im rechtsgeschäftlichen Verkehr handeln, klagen und verklagt werden. Der allgemeine Gerichtsstand des Fonds ist München.</w:t>
      </w:r>
    </w:p>
    <w:p>
      <w:r>
        <w:rPr>
          <w:color w:val="555555"/>
          <w:sz w:val="17"/>
        </w:rPr>
        <w:t xml:space="preserve">Zitiervorschlag: Art 3 BayFoG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https://recht.nulegal.eu/gesetze/BayFoG/3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