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14a BayFoG (Bayern) — Übergang der Aufgaben der Bayerischen Finanzagentur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Aufgaben, die der Bayerischen Finanzagentur aufgrund dieses Gesetzes übertragen sind, werden ab dem 1. August 2024 vom Staatsministerium der Finanzen und für Heimat wahrgenommen.</w:t>
      </w:r>
    </w:p>
    <w:p>
      <w:r>
        <w:t xml:space="preserve">(2) Soweit nach diesem Gesetz die Bayerische Finanzagentur eine Erstattung von Kosten an den Fonds verlangen oder erheben kann, tritt ab dem Zeitpunkt gemäß Abs. 1 der Freistaat Bayern an die Stelle des Fonds.</w:t>
      </w:r>
    </w:p>
    <w:p>
      <w:r>
        <w:t xml:space="preserve">(3) Das Staatsministerium der Finanzen und für Heimat kann nach Maßgabe des Bundesrechts die Bayerische Finanzagentur auflösen oder auf andere Art ihr Erlöschen herbeiführen.</w:t>
      </w:r>
    </w:p>
    <w:p>
      <w:r>
        <w:rPr>
          <w:color w:val="555555"/>
          <w:sz w:val="17"/>
        </w:rPr>
        <w:t xml:space="preserve">Zitiervorschlag: Art 14a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https://recht.nulegal.eu/gesetze/BayFoG/14a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