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BayFoG (Bayern) — Befristung</w:t>
      </w:r>
    </w:p>
    <w:p>
      <w:r>
        <w:rPr>
          <w:color w:val="555555"/>
          <w:sz w:val="18"/>
        </w:rPr>
        <w:t xml:space="preserve">BayernFonds- und Finanzagentur-Gesetz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Stabilisierungsmaßnahmen des Fonds sind bis zum 30. Juni 2022 möglich. Anträge auf Stabilisierungsmaßnahmen nach Art. 7 und 8 können bis zum 30. April 2022 gestellt werden.</w:t>
      </w:r>
    </w:p>
    <w:p>
      <w:r>
        <w:t xml:space="preserve">(2) Der Fonds kann sich auch nach dem 30. Juni 2022 an Unternehmen gemäß Art. 2 Abs. 2 beteiligen, an denen er aufgrund von Maßnahmen nach Art. 8 bereits beteiligt ist, soweit dies erforderlich ist, um den Anteil seiner Kapitalbeteiligung an dem Unternehmen aufrechtzuerhalten oder gewährte Stabilisierungsmaßnahmen abzusichern.</w:t>
      </w:r>
    </w:p>
    <w:p>
      <w:r>
        <w:rPr>
          <w:color w:val="555555"/>
          <w:sz w:val="17"/>
        </w:rPr>
        <w:t xml:space="preserve">Zitiervorschlag: Art 11 BayFoG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https://recht.nulegal.eu/gesetze/BayFoG/11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