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BayFideiAufhV (Bayern)</w:t>
      </w:r>
    </w:p>
    <w:p>
      <w:r>
        <w:rPr>
          <w:color w:val="555555"/>
          <w:sz w:val="18"/>
        </w:rPr>
        <w:t xml:space="preserve">Verordnung, Ausführungsvorschriften zu dem Gesetz über die Aufhebung der Fideikommisse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3 des Gesetzes vom 28. März 1919 über die Aufhebung der Fideikommisse werden folgende Ausführungsvorschriften erlassen:</w:t>
      </w:r>
    </w:p>
    <w:p>
      <w:r>
        <w:rPr>
          <w:color w:val="555555"/>
          <w:sz w:val="17"/>
        </w:rPr>
        <w:t xml:space="preserve">Zitiervorschlag: Eingangsformel BayFideiAufhV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https://recht.nulegal.eu/gesetze/BayFideiAufhV/eingangsformel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