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BayFideiAufhV (Bayern)</w:t>
      </w:r>
    </w:p>
    <w:p>
      <w:r>
        <w:rPr>
          <w:color w:val="555555"/>
          <w:sz w:val="18"/>
        </w:rPr>
        <w:t xml:space="preserve">Verordnung, Ausführungsvorschriften zu dem Gesetz über die Aufhebung der Fideikommisse betreffend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im Grundbuch eingetragene Vermerk der Zugehörigkeit zu einem Familienfideikommiß (§§ 301 ff. der Grundbuchdienstanweisung vom 27. Februar 1905 JMBl. S. 221) gilt als Vermerk der Nacherbfolge im Sinne des § 51 der Grundbuchordnung. Werden Grundsücke oder Rechte an solchen nach der Aufhebung der Fideikommisse auf Grund des § 6 dem Fideikommißvermögen einverleibt, so ist die Zugehörigkeit zum Fideikommißvermögen auf Antrag eines Beteiligten im Grundbuch einzutragen; um die Eintragung hat das Fideikommißgericht zu ersuchen, wenn es von der Einverleibung Kenntnis erhält.</w:t>
      </w:r>
    </w:p>
    <w:p>
      <w:r>
        <w:t xml:space="preserve">[Amtl. Anm.:] Fassung gemäß Reichsbekanntmachung vom 5.8.1935 (RGBl. I S. 1073)</w:t>
      </w:r>
    </w:p>
    <w:p>
      <w:r>
        <w:rPr>
          <w:color w:val="555555"/>
          <w:sz w:val="17"/>
        </w:rPr>
        <w:t xml:space="preserve">Zitiervorschlag: § 9 BayFideiAufhV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https://recht.nulegal.eu/gesetze/BayFideiAufhV/9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