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BayFideiAufhV (Bayern)</w:t>
      </w:r>
    </w:p>
    <w:p>
      <w:r>
        <w:rPr>
          <w:color w:val="555555"/>
          <w:sz w:val="18"/>
        </w:rPr>
        <w:t xml:space="preserve">Verordnung, Ausführungsvorschriften zu dem Gesetz über die Aufhebung der Fideikommisse betreffend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 einem Fideikommiß verbundenen Lehen sind von dem Zeitpunkt der Aufhebung der Fideikommisse an nach dem Lehenedikt und nach den Vorschriften über die Aufhebung der Lehen zu beurteilen.</w:t>
      </w:r>
    </w:p>
    <w:p>
      <w:r>
        <w:t xml:space="preserve">Fideikommisse oder Bestandteile von Fideikommissen, die aus einer königlichen Dotation herrühren, werden wie ein mit dem Fideikommiß verbundenes Lehen behandelt.</w:t>
      </w:r>
    </w:p>
    <w:p>
      <w:r>
        <w:rPr>
          <w:color w:val="555555"/>
          <w:sz w:val="17"/>
        </w:rPr>
        <w:t xml:space="preserve">Zitiervorschlag: § 7 BayFideiAufhV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https://recht.nulegal.eu/gesetze/BayFideiAufhV/7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BayFideiAufhV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