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BayFideiAufhV (Bayern)</w:t>
      </w:r>
    </w:p>
    <w:p>
      <w:r>
        <w:rPr>
          <w:color w:val="555555"/>
          <w:sz w:val="18"/>
        </w:rPr>
        <w:t xml:space="preserve">Verordnung, Ausführungsvorschriften zu dem Gesetz über die Aufhebung der Fideikommisse betreffend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 Vorschriften in §§ 1 und 2 finden im Falle des § 90 des Fideikommißediktes entsprechende Anwendung.</w:t>
      </w:r>
    </w:p>
    <w:p>
      <w:r>
        <w:rPr>
          <w:color w:val="555555"/>
          <w:sz w:val="17"/>
        </w:rPr>
        <w:t xml:space="preserve">Zitiervorschlag: § 3 BayFideiAufhV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https://recht.nulegal.eu/gesetze/BayFideiAufhV/3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