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BayFiG (Bayern) — Selbstständige Fischereirechte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bestehende und neu zu bestellende Fischereirechte, die nicht dem Eigentümer des Gewässers zustehen (selbstständige Fischereirechte), gelten die sich auf Grundstücke beziehenden Vorschriften.</w:t>
      </w:r>
    </w:p>
    <w:p>
      <w:r>
        <w:t xml:space="preserve">(2) Die für die Ansprüche aus dem Eigentum geltenden Vorschriften finden auf die selbstständigen Fischereirechte entsprechende Anwendung.</w:t>
      </w:r>
    </w:p>
    <w:p>
      <w:r>
        <w:t xml:space="preserve">(3) Wer ein in das Grundbuch eingetragenes Fischereirecht ausübt, wird nach den für den Besitzschutz geltenden Vorschriften gegen Störungen der Ausübung geschützt.</w:t>
      </w:r>
    </w:p>
    <w:p>
      <w:r>
        <w:rPr>
          <w:color w:val="555555"/>
          <w:sz w:val="17"/>
        </w:rPr>
        <w:t xml:space="preserve">Zitiervorschlag: Art 8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