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69 BayFiG (Bayern) — Inkrafttreten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des Art. 11 treten mit der Verkündung des Gesetzes in Kraft. Im Übrigen tritt das Gesetz am 1. April 1909 in Kraft.</w:t>
      </w:r>
    </w:p>
    <w:p>
      <w:r>
        <w:t xml:space="preserve">[Amtl. Anm.:] Betrifft die ursprüngliche Fassung vom 15. August 1908 (GVBl S. 527). Der Zeitpunkt des Inkrafttretens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69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https://recht.nulegal.eu/gesetze/BayFiG/69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