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BayFiG (Bayern) — Kosten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Verwaltungsverfahren in erster Instanz und das Verwaltungsverfahren nach Art. 64 sind gebührenfrei. Nicht befreit ist das Verwaltungsverfahren nach den Art. 47 bis 49.</w:t>
      </w:r>
    </w:p>
    <w:p>
      <w:r>
        <w:t xml:space="preserve">(2) Die Kosten, die aus Abordnung von Kommissären zu Ortsbesichtigungen und Tagfahrten im Vollzug der Art. 13, 14, 20, 28 bis 45 und 59 erwachsen, werden von der Staatskasse übernommen.</w:t>
      </w:r>
    </w:p>
    <w:p>
      <w:r>
        <w:rPr>
          <w:color w:val="555555"/>
          <w:sz w:val="17"/>
        </w:rPr>
        <w:t xml:space="preserve">Zitiervorschlag: Art 65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https://recht.nulegal.eu/gesetze/BayFiG/65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