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56 BayFiG (Bayern) — Nutzung von Wasserkraft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Nutzung von Wasserkraft (§ 35 WHG) ist durch geeignete Maßnahmen eine den Bewirtschaftungszielen für Oberflächengewässer (§ 6 und §§ 27 bis 31 WHG) entsprechende Erhaltung eines gewässerangepassten und artenreichen Fischbestandes nach Art. 1 Abs. 2 Satz 3 sicherzustellen.</w:t>
      </w:r>
    </w:p>
    <w:p>
      <w:r>
        <w:t xml:space="preserve">(2) Für bestehende Wasserkraftnutzungen gilt Abs. 1 entsprechend. Erteilte Zulassungen sind, soweit erforderlich, innerhalb angemessener Fristen anzupassen.</w:t>
      </w:r>
    </w:p>
    <w:p>
      <w:r>
        <w:rPr>
          <w:color w:val="555555"/>
          <w:sz w:val="17"/>
        </w:rPr>
        <w:t xml:space="preserve">Zitiervorschlag: Art 56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