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BayFiG (Bayern) — Fischerprüfung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Erteilung eines Fischereischeins auf Lebenszeit setzt vorbehaltlich einer Regelung nach Art. 50 Abs. 3 Nr. 5 voraus, dass die antragstellende Person eine Fischerprüfung bestanden hat, in der sie ausreichende Kenntnisse auf folgenden Gebieten nachgewiesen hat:</w:t>
      </w:r>
    </w:p>
    <w:p>
      <w:r>
        <w:t xml:space="preserve">1. Fischkunde,</w:t>
      </w:r>
    </w:p>
    <w:p>
      <w:r>
        <w:t xml:space="preserve">2. Gewässerkunde,</w:t>
      </w:r>
    </w:p>
    <w:p>
      <w:r>
        <w:t xml:space="preserve">3. Schutz und Pflege der Fischgewässer, Fischhege,</w:t>
      </w:r>
    </w:p>
    <w:p>
      <w:r>
        <w:t xml:space="preserve">4. Fanggeräte, fischereiliche Praxis, Behandlung gefangener Fische und</w:t>
      </w:r>
    </w:p>
    <w:p>
      <w:r>
        <w:t xml:space="preserve">5. einschlägige Rechtsvorschriften, insbesondere des Fischerei- und Wasserrechts, des Naturschutzrechts, des Tierschutz- und Tierseuchenrechts.</w:t>
      </w:r>
    </w:p>
    <w:p>
      <w:r>
        <w:t xml:space="preserve">An der Fischerprüfung können Personen teilnehmen, die das zwölfte Lebensjahr vollendet haben. Für die Vorbereitung und Abnahme der Prüfung ist die Landesanstalt für Landwirtschaft zuständig.</w:t>
      </w:r>
    </w:p>
    <w:p>
      <w:r>
        <w:rPr>
          <w:color w:val="555555"/>
          <w:sz w:val="17"/>
        </w:rPr>
        <w:t xml:space="preserve">Zitiervorschlag: Art 48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