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47 BayFiG (Bayern) — Gültigkeitsdauer; Fischereiausübung durch Minderjährige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Fischereischein wird auf Antrag mit unbeschränkter Geltungsdauer (Fischereischein auf Lebenszeit) oder als Fischereischein für volljährige Personen ohne bestandene Fischerprüfung erteilt.</w:t>
      </w:r>
    </w:p>
    <w:p>
      <w:r>
        <w:t xml:space="preserve">(2) Personen, die das siebte, nicht aber das 18. Lebensjahr vollendet haben, sind zur Ausübung des Fischfangs nur in verantwortlicher Begleitung eines volljährigen Inhabers eines Fischereischeins berechtigt. Satz 1 gilt entsprechend für einen durch Rechtsverordnung nach Art. 50 Abs. 3 Nr. 1 gleichgestellten Fischereischein, dessen Inhaber das 14. Lebensjahr noch nicht vollendet hat.</w:t>
      </w:r>
    </w:p>
    <w:p>
      <w:r>
        <w:t xml:space="preserve">(3) Personen, die das vierzehnte Lebensjahr vollendet und die Fischerprüfung nach Art. 48 oder eine gleichgestellte Prüfung bestanden haben, erhalten den Fischereischein auf Lebenszeit.</w:t>
      </w:r>
    </w:p>
    <w:p>
      <w:r>
        <w:rPr>
          <w:color w:val="555555"/>
          <w:sz w:val="17"/>
        </w:rPr>
        <w:t xml:space="preserve">Zitiervorschlag: Art 47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