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BayFiG (Bayern) — Beitritt von Pächtern</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 Fischereirecht verpachtet, so ist zum freiwilligen Beitritt des Pächters zu einer Fischereigenossenschaft die Zustimmung des Fischereiberechtigten nur erforderlich, wenn das Fischereirecht auch nach der Beendigung der Pacht in der Genossenschaft verbleiben soll.</w:t>
      </w:r>
    </w:p>
    <w:p>
      <w:r>
        <w:t xml:space="preserve">(2) Wird ein zu einer Fischereigenossenschaft gehörendes Fischereirecht verpachtet, so tritt der Pächter kraft Gesetzes in die Genossenschaft ein.</w:t>
      </w:r>
    </w:p>
    <w:p>
      <w:r>
        <w:t xml:space="preserve">(3) Zum Austritt des Pächters aus der Genossenschaft ist die Zustimmung des Fischereiberechtigten erforderlich.</w:t>
      </w:r>
    </w:p>
    <w:p>
      <w:r>
        <w:rPr>
          <w:color w:val="555555"/>
          <w:sz w:val="17"/>
        </w:rPr>
        <w:t xml:space="preserve">Zitiervorschlag: Art 44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