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43 BayFiG (Bayern) — Staatliche Aufsicht</w:t>
      </w:r>
    </w:p>
    <w:p>
      <w:r>
        <w:rPr>
          <w:color w:val="555555"/>
          <w:sz w:val="18"/>
        </w:rPr>
        <w:t xml:space="preserve">Bayerisches Fischereigesetz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Fischereigenossenschaften unterliegen der Aufsicht durch die Kreisverwaltungsbehörde. Die Genossenschaften bleiben auch während des Liquidationsverfahrens bis zu dessen Beendigung der Staatsaufsicht unterworfen.</w:t>
      </w:r>
    </w:p>
    <w:p>
      <w:r>
        <w:t xml:space="preserve">(2) Die Kreisverwaltungsbehörde ist berechtigt,</w:t>
      </w:r>
    </w:p>
    <w:p>
      <w:r>
        <w:t xml:space="preserve">1. bei Ablehnung eines Antrags nach Art. 37 und in sonstigen dringenden Fällen anstelle des Vorstands die Genossenschaftsversammlung einzuberufen,</w:t>
      </w:r>
    </w:p>
    <w:p>
      <w:r>
        <w:t xml:space="preserve">2. zur Wahrnehmung der Obliegenheiten der Genossenschaft auf deren Kosten Beauftragte zu bestellen, soweit und solange die erforderlichen Genossenschaftsorgane fehlen, und</w:t>
      </w:r>
    </w:p>
    <w:p>
      <w:r>
        <w:t xml:space="preserve">3. sonstige Maßnahmen anstelle und auf Kosten der Genossenschaft zu treffen, die zur Erfüllung des Genossenschaftszwecks erforderlich sind.</w:t>
      </w:r>
    </w:p>
    <w:p>
      <w:r>
        <w:rPr>
          <w:color w:val="555555"/>
          <w:sz w:val="17"/>
        </w:rPr>
        <w:t xml:space="preserve">Zitiervorschlag: Art 43 BayFiG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https://recht.nulegal.eu/gesetze/BayFiG/43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