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34 BayFiG (Bayern) — Genehmigung der Satzung</w:t>
      </w:r>
    </w:p>
    <w:p>
      <w:r>
        <w:rPr>
          <w:color w:val="555555"/>
          <w:sz w:val="18"/>
        </w:rPr>
        <w:t xml:space="preserve">Bayerisches Fischereigesetz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Satzung bedarf der Genehmigung der Kreisverwaltungsbehörde; Änderungen der Satzung sind der Behörde innerhalb einer Woche anzuzeigen.</w:t>
      </w:r>
    </w:p>
    <w:p>
      <w:r>
        <w:t xml:space="preserve">(2) Mit der Genehmigung der Satzung erlangt die Genossenschaft die Rechtsfähigkeit.</w:t>
      </w:r>
    </w:p>
    <w:p>
      <w:r>
        <w:rPr>
          <w:color w:val="555555"/>
          <w:sz w:val="17"/>
        </w:rPr>
        <w:t xml:space="preserve">Zitiervorschlag: Art 34 BayFiG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https://recht.nulegal.eu/gesetze/BayFiG/34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