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BayFiG (Bayern) — Satzung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Rechtsverhältnisse der Genossenschaft und der Genossen werden, soweit nicht dieses Gesetz hierüber Bestimmungen enthält, durch die Genossenschaftssatzung geregelt.</w:t>
      </w:r>
    </w:p>
    <w:p>
      <w:r>
        <w:t xml:space="preserve">(2) Die Satzung muss insbesondere Bestimmungen enthalten über:</w:t>
      </w:r>
    </w:p>
    <w:p>
      <w:r>
        <w:t xml:space="preserve">1. den Namen und Sitz der Genossenschaft;</w:t>
      </w:r>
    </w:p>
    <w:p>
      <w:r>
        <w:t xml:space="preserve">2. den Zweck des Unternehmens;</w:t>
      </w:r>
    </w:p>
    <w:p>
      <w:r>
        <w:t xml:space="preserve">3. die Rechte und Pflichten der Genossen, vor allem hinsichtlich des Maßstabs der Teilnahme an den Vorteilen und Lasten der Genossenschaft und an der Verwaltung der Genossenschaftsangelegenheiten;</w:t>
      </w:r>
    </w:p>
    <w:p>
      <w:r>
        <w:t xml:space="preserve">4. die Zusammensetzung, die Wahl und den Wirkungskreis des Vorstands und seines Vorsitzenden, sowie über die Aufstellung der übrigen Genossenschaftsorgane;</w:t>
      </w:r>
    </w:p>
    <w:p>
      <w:r>
        <w:t xml:space="preserve">5. die Berufung, Zusammensetzung und Zuständigkeit der Genossenschaftsversammlung, die Form, Gültigkeit und Bekanntgabe ihrer Beschlüsse;</w:t>
      </w:r>
    </w:p>
    <w:p>
      <w:r>
        <w:t xml:space="preserve">6. die Bildung eines Schiedsgerichts in Genossenschaftsangelegenheiten und die Bezeichnung von Streitigkeiten, die seiner Entscheidung unterliegen;</w:t>
      </w:r>
    </w:p>
    <w:p>
      <w:r>
        <w:t xml:space="preserve">7. das Rechnungswesen der Genossenschaft (Aufstellung der Voranschläge, Rechnungsstellung und Rechnungsprüfung);</w:t>
      </w:r>
    </w:p>
    <w:p>
      <w:r>
        <w:t xml:space="preserve">8. die Voraussetzungen für Änderung der Satzung;</w:t>
      </w:r>
    </w:p>
    <w:p>
      <w:r>
        <w:t xml:space="preserve">9. die Form der Bekanntmachungen und die hierfür zu wählenden öffentlichen Blätter.</w:t>
      </w:r>
    </w:p>
    <w:p>
      <w:r>
        <w:rPr>
          <w:color w:val="555555"/>
          <w:sz w:val="17"/>
        </w:rPr>
        <w:t xml:space="preserve">Zitiervorschlag: Art 32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