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31 BayFiG (Bayern) — Juristische Person</w:t>
      </w:r>
    </w:p>
    <w:p>
      <w:r>
        <w:rPr>
          <w:color w:val="555555"/>
          <w:sz w:val="18"/>
        </w:rPr>
        <w:t xml:space="preserve">Bayerisches Fischereigesetz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Genossenschaft als solche hat selbstständig ihre Rechte und ihre Pflichten, sie kann Eigentum und andere dingliche Rechte an Grundstücken erwerben, vor Gericht klagen und verklagt werden.</w:t>
      </w:r>
    </w:p>
    <w:p>
      <w:r>
        <w:t xml:space="preserve">(2) Für die Verbindlichkeiten der Genossenschaft haftet den Gläubigern ausschließlich das Genossenschaftsvermögen. Die Genossen sind nur zu den satzungsmäßigen Beiträgen verpflichtet.</w:t>
      </w:r>
    </w:p>
    <w:p>
      <w:r>
        <w:t xml:space="preserve">(3) Die Genossenschaft muss ihren Sitz im Freistaat Bayern haben.</w:t>
      </w:r>
    </w:p>
    <w:p>
      <w:r>
        <w:rPr>
          <w:color w:val="555555"/>
          <w:sz w:val="17"/>
        </w:rPr>
        <w:t xml:space="preserve">Zitiervorschlag: Art 31 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https://recht.nulegal.eu/gesetze/BayFiG/31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