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BayFiG (Bayern) — Zwangsgenossenschaft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Bildung einer Zwangsgenossenschaft setzt voraus, dass die Genossenschaft im Interesse der Erhaltung und Vermehrung des Fischbestands liegt und unzweifelhaft einen wesentlichen wirtschaftlichen Nutzen gewährt. Bei Genossenschaften zur gemeinsamen Bewirtschaftung und Nutzung eines Fischwassers ist die Zustimmung der absoluten Mehrheit der Beteiligten erforderlich. Bei der Berechnung der Mehrheit ist neben der Zahl der Beteiligten der Umfang der Fischereirechte zu berücksichtigen.</w:t>
      </w:r>
    </w:p>
    <w:p>
      <w:r>
        <w:t xml:space="preserve">(2) Fischereiberechtigte, die der Bildung der Genossenschaft widersprechen, können zur Teilnahme nur dann gezwungen werden, wenn die Genossenschaft in wirtschaftlich zweckmäßiger Weise nur unter Heranziehung dieser Fischereiberechtigten durchgeführt werden kann.</w:t>
      </w:r>
    </w:p>
    <w:p>
      <w:r>
        <w:t xml:space="preserve">(3) Die Bildung der Zwangsgenossenschaft erfolgt durch Anordnung der Kreisverwaltungsbehörde. Diese hat gleichzeitig die Genossenschaftssatzung zu erlassen. Mit dem Erlass der Satzung erlangt die Genossenschaft die Rechtsfähigkeit. Nach Bildung der Zwangsgenossenschaft finden die Bestimmungen dieses Kapitels entsprechende Anwendung.</w:t>
      </w:r>
    </w:p>
    <w:p>
      <w:r>
        <w:rPr>
          <w:color w:val="555555"/>
          <w:sz w:val="17"/>
        </w:rPr>
        <w:t xml:space="preserve">Zitiervorschlag: Art 29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