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BayFiG (Bayern) — Freistaat Bayern als Fischereiberechtigter</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Fischwasser, in denen der Freistaat Bayern fischereiberechtigt ist, gelten die Art. 22 bis 26 nach Maßgabe der folgenden Absätze.</w:t>
      </w:r>
    </w:p>
    <w:p>
      <w:r>
        <w:t xml:space="preserve">(2) Abweichungen von Art. 22 Abs. 1, 4 und 5 können ohne Gestattung der Kreisverwaltungsbehörde vereinbart werden, wenn Nachteile im Sinn des Art. 22 Abs. 6 Satz 2 nicht zu befürchten sind.</w:t>
      </w:r>
    </w:p>
    <w:p>
      <w:r>
        <w:t xml:space="preserve">(3) Vor jeder Verpachtung hört der Verpächter den Fachberater des Bezirks für das Fischereiwesen (Fachberater) an. Hierbei teilt er die vorgesehenen Pachtbedingungen mit. Hat sich der Fachberater gutachtlich geäußert, leitet ihm der Verpächter nach Vertragsschluss den Pachtvertrag zu. Art. 24 Satz 2 ist nicht anwendbar.</w:t>
      </w:r>
    </w:p>
    <w:p>
      <w:r>
        <w:t xml:space="preserve">(4) Erlaubnisscheine können ohne Genehmigung der Kreisverwaltungsbehörde ausgestellt werden, sofern die Ausstellung nach Art und Anzahl nachvollziehbar geregelt ist.</w:t>
      </w:r>
    </w:p>
    <w:p>
      <w:r>
        <w:rPr>
          <w:color w:val="555555"/>
          <w:sz w:val="17"/>
        </w:rPr>
        <w:t xml:space="preserve">Zitiervorschlag: Art 27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