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BayFiG (Bayern) — Geschlossene Gewässer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Geschlossene Gewässer im Sinn des Gesetzes sind:</w:t>
      </w:r>
    </w:p>
    <w:p>
      <w:r>
        <w:t xml:space="preserve">1. alle künstlich angelegten, ablassbaren und während der Bespannung gegen den Wechsel der Fische ständig abgesperrten Fischteiche und Fischbehälter, mögen sie mit einem natürlichen Gewässer in Verbindung stehen oder nicht,</w:t>
      </w:r>
    </w:p>
    <w:p>
      <w:r>
        <w:t xml:space="preserve">2. die lediglich zum Zweck der Fischzucht oder Fischhaltung künstlich hergestellten und ständig abgesperrten Rinnsale, solange sie ausschließlich diesem Zweck dienen,</w:t>
      </w:r>
    </w:p>
    <w:p>
      <w:r>
        <w:t xml:space="preserve">3. mit Ausnahme der Altwässer alle anderen Gewässer wie insbesondere Baggerseen, soweit es an einer für den Wechsel der Fische geeigneten regelmäßigen Verbindung mit einem natürlichen Gewässer fehlt.</w:t>
      </w:r>
    </w:p>
    <w:p>
      <w:r>
        <w:rPr>
          <w:color w:val="555555"/>
          <w:sz w:val="17"/>
        </w:rPr>
        <w:t xml:space="preserve">Zitiervorschlag: Art 2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