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BayFachlAIEV (Bayern)</w:t>
      </w:r>
    </w:p>
    <w:p>
      <w:r>
        <w:rPr>
          <w:color w:val="555555"/>
          <w:sz w:val="18"/>
        </w:rPr>
        <w:t xml:space="preserve">Verordnung über die Errichtung eines Staatsinstituts für die Ausbildung von Fachlehrern in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Zulassungsvoraussetzungen, Studiengang sowie Rechte und Pflichten der Studierenden trifft die Studienordnung des Staatsinstituts nähere Bestimmung, die auch für einzelne Abteilungen des Staatsinstituts gesondert erlassen werden kann.</w:t>
      </w:r>
    </w:p>
    <w:p>
      <w:r>
        <w:rPr>
          <w:color w:val="555555"/>
          <w:sz w:val="17"/>
        </w:rPr>
        <w:t xml:space="preserve">Zitiervorschlag: § 4 BayFachlAIEV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https://recht.nulegal.eu/gesetze/BayFachlAIEV/4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