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BayFachlAIEV (Bayern)</w:t>
      </w:r>
    </w:p>
    <w:p>
      <w:r>
        <w:rPr>
          <w:color w:val="555555"/>
          <w:sz w:val="18"/>
        </w:rPr>
        <w:t xml:space="preserve">Verordnung über die Errichtung eines Staatsinstituts für die Ausbildung von Fachlehrern in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Staatsinstitut untersteht unmittelbar dem Staatsministerium für Unterricht und Kultus. Die Fachaufsicht über die Abteilung IV übt das Staatliche Studienseminar für das Lehramt an beruflichen Schulen aus.</w:t>
      </w:r>
    </w:p>
    <w:p>
      <w:r>
        <w:t xml:space="preserve">(2) Vorgesetzte Behörde im Sinn der Verwaltungsvorschriften zur Bayerischen Haushaltsordnung ist</w:t>
      </w:r>
    </w:p>
    <w:p>
      <w:r>
        <w:t xml:space="preserve">1. für die Abteilung I die Regierung von Schwaben in Augsburg,</w:t>
      </w:r>
    </w:p>
    <w:p>
      <w:r>
        <w:t xml:space="preserve">2. für die Abteilung II die Regierung von Oberbayern in München,</w:t>
      </w:r>
    </w:p>
    <w:p>
      <w:r>
        <w:t xml:space="preserve">3. für die Abteilungen III und IV die Regierung von Mittelfranken in Ansbach,</w:t>
      </w:r>
    </w:p>
    <w:p>
      <w:r>
        <w:t xml:space="preserve">4. für die Abteilung V die Regierung von Oberfranken in Bayreuth.</w:t>
      </w:r>
    </w:p>
    <w:p>
      <w:r>
        <w:t xml:space="preserve">(3) Als Amtskassen werden bestimmt</w:t>
      </w:r>
    </w:p>
    <w:p>
      <w:r>
        <w:t xml:space="preserve">1. für die Abteilung I die Staatsoberkasse Augsburg,</w:t>
      </w:r>
    </w:p>
    <w:p>
      <w:r>
        <w:t xml:space="preserve">2. für die Abteilung II die Staatsoberkasse München II,</w:t>
      </w:r>
    </w:p>
    <w:p>
      <w:r>
        <w:t xml:space="preserve">3. für die Abteilungen III und IV die Staatsoberkasse Ansbach,</w:t>
      </w:r>
    </w:p>
    <w:p>
      <w:r>
        <w:t xml:space="preserve">4. für die Abteilung V die Staatsoberkasse Bayreuth.</w:t>
      </w:r>
    </w:p>
    <w:p>
      <w:r>
        <w:rPr>
          <w:color w:val="555555"/>
          <w:sz w:val="17"/>
        </w:rPr>
        <w:t xml:space="preserve">Zitiervorschlag: § 3 BayFachlAIEV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https://recht.nulegal.eu/gesetze/BayFachlAIEV/3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