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BayFachlAIEV (Bayern)</w:t>
      </w:r>
    </w:p>
    <w:p>
      <w:r>
        <w:rPr>
          <w:color w:val="555555"/>
          <w:sz w:val="18"/>
        </w:rPr>
        <w:t xml:space="preserve">Verordnung über die Errichtung eines Staatsinstituts für die Ausbildung von Fachlehrern in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Staatsinstitut gliedert sich in fünf Abteilungen. Es obliegt</w:t>
      </w:r>
    </w:p>
    <w:p>
      <w:r>
        <w:t xml:space="preserve">1. der Abteilung I in Augsburg und der Abteilung V in Bayreuth die pädagogische Ausbildung der Fachlehrer für Werken, Technisches Zeichnen, Kurzschrift, Maschinenschreiben,</w:t>
      </w:r>
    </w:p>
    <w:p>
      <w:r>
        <w:t xml:space="preserve">2. der Abteilung II in München und der Abteilung III in Nürnberg die pädagogische Ausbildung der Fachlehrerinnen für Handarbeit und Hauswirtschaft,</w:t>
      </w:r>
    </w:p>
    <w:p>
      <w:r>
        <w:t xml:space="preserve">3. der Abteilung IV in Ansbach die Ausbildung von Fachlehrern an beruflichen Schulen</w:t>
      </w:r>
    </w:p>
    <w:p>
      <w:r>
        <w:t xml:space="preserve">Jede Abteilung steht unter eigener fachlicher Leitung.</w:t>
      </w:r>
    </w:p>
    <w:p>
      <w:r>
        <w:rPr>
          <w:color w:val="555555"/>
          <w:sz w:val="17"/>
        </w:rPr>
        <w:t xml:space="preserve">Zitiervorschlag: § 2 BayFachlAIEV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https://recht.nulegal.eu/gesetze/BayFachlAIEV/2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