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BayFachVbtuD (Bayern) — Zuständigkeiten</w:t>
      </w:r>
    </w:p>
    <w:p>
      <w:r>
        <w:rPr>
          <w:color w:val="555555"/>
          <w:sz w:val="18"/>
        </w:rPr>
        <w:t xml:space="preserve">Verordnung über den fachlichen Schwerpunkt bautechnischer und umweltfachlicher Verwaltungsdienst (Fachverordnung bautechnischer und umweltfachlicher Verwaltungsdienst – FachV-btuD)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Oberste Ausbildungsbehörde ist das Staatsministerium für Wohnen, Bau und Verkehr.</w:t>
      </w:r>
    </w:p>
    <w:p>
      <w:r>
        <w:t xml:space="preserve">(2) Ernennungsbehörden im Sinne der Teile 1 und 2 sind die für die Ernennung der Beamtinnen und Beamten auf Widerruf zuständigen Behörden.</w:t>
      </w:r>
    </w:p>
    <w:p>
      <w:r>
        <w:t xml:space="preserve">(3) Ausbildungsstellen sind die Behörden und Stellen, denen die Ernennungsbehörden Beamtinnen und Beamte zur Ausbildung zuweisen.</w:t>
      </w:r>
    </w:p>
    <w:p>
      <w:r>
        <w:t xml:space="preserve">(4) Die erste Ausbildungsstelle bestellt die Ausbildungsleitung für die gesamte Dauer des Vorbereitungsdienstes. Die mit der Ausbildungsleitung betrauten Personen sind Vorgesetzte der Beamtinnen und Beamten auf Widerruf.</w:t>
      </w:r>
    </w:p>
    <w:p>
      <w:r>
        <w:rPr>
          <w:color w:val="555555"/>
          <w:sz w:val="17"/>
        </w:rPr>
        <w:t xml:space="preserve">Zitiervorschlag: § 4 BayFachVbtuD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https://recht.nulegal.eu/gesetze/BayFachVbtuD/4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