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BayFachVbtuD (Bayern) — Teilnahme an der modularen Qualifizierung</w:t>
      </w:r>
    </w:p>
    <w:p>
      <w:r>
        <w:rPr>
          <w:color w:val="555555"/>
          <w:sz w:val="18"/>
        </w:rPr>
        <w:t xml:space="preserve">Verordnung über den fachlichen Schwerpunkt bautechnischer und umweltfachlicher Verwaltungsdienst (Fachverordnung bautechnischer und umweltfachlicher Verwaltungsdienst – FachV-btuD)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 der modularen Qualifizierung können Beamtinnen und Beamte teilnehmen, denen die Eignung hierfür nach Art. 20 Abs. 4 LlbG zuerkannt wurde und folgende Ämter erreicht haben:</w:t>
      </w:r>
    </w:p>
    <w:p>
      <w:r>
        <w:t xml:space="preserve">1. mindestens ein Amt der Besoldungsgruppe A 9 für ein Amt ab der Besoldungsgruppe A 10,</w:t>
      </w:r>
    </w:p>
    <w:p>
      <w:r>
        <w:t xml:space="preserve">2. mindestens ein Amt einer Oberstraßen- oder Oberflussmeisterin oder eines Oberstraßen- oder Oberflussmeisters für ein Amt ab der Besoldungsgruppe A 11,</w:t>
      </w:r>
    </w:p>
    <w:p>
      <w:r>
        <w:t xml:space="preserve">3. mindestens ein Amt der Besoldungsgruppe A 12 für ein Amt ab der Besoldungsgruppe A 14.</w:t>
      </w:r>
    </w:p>
    <w:p>
      <w:r>
        <w:t xml:space="preserve">In den Konzepten können weitere Regelungen getroffen werden, die jedoch keine prüfungs- oder auswahlähnlichen Elemente enthalten dürfen. Für die Auswahl der Teilnehmerinnen und Teilnehmer an den Maßnahmen gilt Art. 16 Abs. 1 LlbG entsprechend. Soweit es aus dienstlichen Gründen erforderlich ist, kann die Teilnahme an der modularen Qualifizierung in den Konzepten auf bestimmte Arbeitsbereiche oder Dienstposten begrenzt werden.</w:t>
      </w:r>
    </w:p>
    <w:p>
      <w:r>
        <w:t xml:space="preserve">(2) Für Oberstraßen- und Oberflussmeisterinnen und -meister ist eine Beförderung in ein Amt der Besoldungsgruppe A 10 ohne die Teilnahme an der modularen Qualifizierung möglich, wenn sie die Voraussetzungen der Fußnoten 3 oder 4 zu Besoldungsgruppe A 10 der Anlage 1 zum Bayerischen Besoldungsgesetz für das Amt einer Hauptstraßen- oder Hauptflussmeisterin oder eines Hauptstraßen- oder Hauptflussmeisters erfüllen.</w:t>
      </w:r>
    </w:p>
    <w:p>
      <w:r>
        <w:rPr>
          <w:color w:val="555555"/>
          <w:sz w:val="17"/>
        </w:rPr>
        <w:t xml:space="preserve">Zitiervorschlag: § 26 BayFachVbtuD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https://recht.nulegal.eu/gesetze/BayFachVbtuD/26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BayFachVbtuD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