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BayFachVbtuD (Bayern) — Prüfungsergebnis</w:t>
      </w:r>
    </w:p>
    <w:p>
      <w:r>
        <w:rPr>
          <w:color w:val="555555"/>
          <w:sz w:val="18"/>
        </w:rPr>
        <w:t xml:space="preserve">Verordnung über den fachlichen Schwerpunkt bautechnischer und umweltfachlicher Verwaltungsdienst (Fachverordnung bautechnischer und umweltfachlicher Verwaltungsdienst – FachV-btuD)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Prüfungsamt stellt über das Bestehen der Qualifikationsprüfung ein Zeugnis aus, das die Einzelnoten und Einzelpunktzahlen, die Gesamtpunktzahl und die sich daraus ergebende Gesamtprüfungsnote sowie die fachgebietsbezogene Platzziffer enthält.</w:t>
      </w:r>
    </w:p>
    <w:p>
      <w:r>
        <w:t xml:space="preserve">(2) Ist die Prüfung nicht bestanden, so stellt das Prüfungsamt die Bescheinigung nach § 31 Abs. 3 APO aus.</w:t>
      </w:r>
    </w:p>
    <w:p>
      <w:r>
        <w:rPr>
          <w:color w:val="555555"/>
          <w:sz w:val="17"/>
        </w:rPr>
        <w:t xml:space="preserve">Zitiervorschlag: § 23 BayFachVbtuD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https://recht.nulegal.eu/gesetze/BayFachVbtuD/23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