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BayFachVbtuD (Bayern) — Platzziffer</w:t>
      </w:r>
    </w:p>
    <w:p>
      <w:r>
        <w:rPr>
          <w:color w:val="555555"/>
          <w:sz w:val="18"/>
        </w:rPr>
        <w:t xml:space="preserve">Verordnung über den fachlichen Schwerpunkt bautechnischer und umweltfachlicher Verwaltungsdienst (Fachverordnung bautechnischer und umweltfachlicher Verwaltungsdienst – FachV-btuD)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Für Teilnehmerinnen und Teilnehmer, die die Qualifikationsprüfung bestanden haben, wird auf Grund der Gesamtpunktzahl eine fachgebietsbezogene Platzziffer festgesetzt.</w:t>
      </w:r>
    </w:p>
    <w:p>
      <w:r>
        <w:t xml:space="preserve">(2) Bei gleicher Gesamtpunktzahl gilt § 29 Abs. 1 Satz 2 und 3 APO entsprechend.</w:t>
      </w:r>
    </w:p>
    <w:p>
      <w:r>
        <w:t xml:space="preserve">(3) Werden Prüfungsarbeiten erst nach Festsetzung der Platzziffern gefertigt (§ 33 Abs. 1 Nr. 2 APO), erhält die Teilnehmerin oder der Teilnehmer die Platzziffer der voranstehenden Teilnehmerin oder des voranstehenden Teilnehmers mit dem Zusatz „a“.</w:t>
      </w:r>
    </w:p>
    <w:p>
      <w:r>
        <w:rPr>
          <w:color w:val="555555"/>
          <w:sz w:val="17"/>
        </w:rPr>
        <w:t xml:space="preserve">Zitiervorschlag: § 22 BayFachVbtuD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https://recht.nulegal.eu/gesetze/BayFachVbtuD/22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