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BayFachVbtuD (Bayern) — Schriftlicher Teil der Qualifikationsprüfung</w:t>
      </w:r>
    </w:p>
    <w:p>
      <w:r>
        <w:rPr>
          <w:color w:val="555555"/>
          <w:sz w:val="18"/>
        </w:rPr>
        <w:t xml:space="preserve">Verordnung über den fachlichen Schwerpunkt bautechnischer und umweltfachlicher Verwaltungsdienst (Fachverordnung bautechnischer und umweltfachlicher Verwaltungsdienst – FachV-btuD)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Qualifikationsprüfung beginnt mit dem schriftlichen Teil.</w:t>
      </w:r>
    </w:p>
    <w:p>
      <w:r>
        <w:t xml:space="preserve">(2) Für den Einstieg in der zweiten Qualifikationsebene umfasst er die in der Anlage 1 genannten fünf Prüfungsfächer je Fachgebiet mit dem dort aufgeführten Prüfungsstoff und den jeweiligen Bearbeitungszeiten.</w:t>
      </w:r>
    </w:p>
    <w:p>
      <w:r>
        <w:t xml:space="preserve">(3) Für den Einstieg in der dritten Qualifikationsebene umfasst er die in der Anlage 2 genannten vier Prüfungsfächer je Fachgebiet mit dem dort aufgeführten Prüfungsstoff und den jeweiligen Bearbeitungszeiten.</w:t>
      </w:r>
    </w:p>
    <w:p>
      <w:r>
        <w:t xml:space="preserve">(4) Für den Einstieg in der vierten Qualifikationsebene umfasst er die in der Anlage 3 genannten Prüfungsfächer je Fachgebiet mit dem dort aufgeführten Prüfungsstoff und den jeweiligen Bearbeitungszeiten.</w:t>
      </w:r>
    </w:p>
    <w:p>
      <w:r>
        <w:t xml:space="preserve">(5) Innerhalb einer Qualifikationsebene sind gemeinsame Aufgaben für mehrere Fachgebiete und prüfungsfächerübergreifende Aufgaben zulässig.</w:t>
      </w:r>
    </w:p>
    <w:p>
      <w:r>
        <w:rPr>
          <w:color w:val="555555"/>
          <w:sz w:val="17"/>
        </w:rPr>
        <w:t xml:space="preserve">Zitiervorschlag: § 18 BayFachVbtuD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https://recht.nulegal.eu/gesetze/BayFachVbtuD/18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