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BayFachVBibl (Bayern)</w:t>
      </w:r>
    </w:p>
    <w:p>
      <w:r>
        <w:rPr>
          <w:color w:val="555555"/>
          <w:sz w:val="18"/>
        </w:rPr>
        <w:t xml:space="preserve">Verordnung über den fachlichen Schwerpunkt Bibliothekswesen (FachV-Bibl)FachV-Bibl BayRS 2038-3-1-10-I/WK</w:t>
      </w:r>
    </w:p>
    <w:p>
      <w:r>
        <w:rPr>
          <w:color w:val="555555"/>
          <w:sz w:val="18"/>
        </w:rPr>
        <w:t xml:space="preserve">Landesrecht Bayern</w:t>
      </w:r>
    </w:p>
    <w:p>
      <w:r>
        <w:rPr>
          <w:color w:val="555555"/>
          <w:sz w:val="18"/>
        </w:rPr>
        <w:t xml:space="preserve">Stand: 25.08.2026 (konsolidierte Textfassung, kein amtliches Inkrafttretensdatum)</w:t>
      </w:r>
    </w:p>
    <w:p>
      <w:r>
        <w:t xml:space="preserve">Auf Grund von Art. 22 Abs. 6 Halbsatz 2, Art. 38 Abs. 2 und Art. 67 Satz 1 Nrn. 1 bis 3 des Gesetzes über die Leistungslaufbahn und die Fachlaufbahnen der bayerischen Beamten und Beamtinnen (Leistungslaufbahngesetz – LlbG) vom 5. August 2010 (GVBl S. 410, 571, BayRS 2030-1-4-F), zuletzt geändert durch § 3 des Gesetzes vom 17. Juli 2015 (GVBl S. 240), erlassen die Bayerischen Staatsministerien des Innern, für Bau und Verkehr sowie für Bildung und Kultus, Wissenschaft und Kunst im Einvernehmen mit dem Bayerischen Staatsministerium der Finanzen, für Landesentwicklung und Heimat und mit Zustimmung des Bayerischen Landespersonalausschusses folgende Verordnung:</w:t>
      </w:r>
    </w:p>
    <w:p>
      <w:r>
        <w:rPr>
          <w:color w:val="555555"/>
          <w:sz w:val="17"/>
        </w:rPr>
        <w:t xml:space="preserve">Zitiervorschlag: Eingangsformel BayFachVBibl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https://recht.nulegal.eu/gesetze/BayFachVBibl/eingangsformel</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