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BayFachVBibl (Bayern) — Schriftliche Leistungen der fachtheoretischen Ausbildung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schriftlichen Leistungen der fachtheoretischen Ausbildung bestehen aus zwei schriftlich auszuarbeitenden Referaten oder gleichwertigen Leistungen aus dem Stoff der Grundlagenfächer oder der in den Vertiefungskursen behandelten Gebiete.</w:t>
      </w:r>
    </w:p>
    <w:p>
      <w:r>
        <w:t xml:space="preserve">(2) Für die Bildung der Gesamtnote gilt § 46 entsprechend.</w:t>
      </w:r>
    </w:p>
    <w:p>
      <w:r>
        <w:rPr>
          <w:color w:val="555555"/>
          <w:sz w:val="17"/>
        </w:rPr>
        <w:t xml:space="preserve">Zitiervorschlag: § 47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