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BayFachVBibl (Bayern) — Durchführung der Prüfung, Prüfungsamt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schriftlichen und mündlichen Prüfung nach §§ 45 und 48 wird zugelassen, wer die berufspraktische Ausbildung nach § 41 mit Erfolg abgeleistet hat. § 25 Sätze 3 und 4 gelten entsprechend.</w:t>
      </w:r>
    </w:p>
    <w:p>
      <w:r>
        <w:t xml:space="preserve">(2) Bei der Staatsbibliothek wird zur Unterstützung des Prüfungsausschusses ein Prüfungsamt eingerichtet.</w:t>
      </w:r>
    </w:p>
    <w:p>
      <w:r>
        <w:rPr>
          <w:color w:val="555555"/>
          <w:sz w:val="17"/>
        </w:rPr>
        <w:t xml:space="preserve">Zitiervorschlag: § 44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