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BayFachVBibl (Bayern) — Fachtheoretische Ausbildung</w:t>
      </w:r>
    </w:p>
    <w:p>
      <w:r>
        <w:rPr>
          <w:color w:val="555555"/>
          <w:sz w:val="18"/>
        </w:rPr>
        <w:t xml:space="preserve">Verordnung über den fachlichen Schwerpunkt Bibliothekswesen (FachV-Bibl)FachV-Bibl BayRS 2038-3-1-10-I/WK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In der fachtheoretischen Ausbildung sind die Referendare und Referendarinnen verpflichtet, an den Ausbildungsveranstaltungen wie insbesondere Kursen, Übungen, Seminaren und Exkursionen teilzunehmen und die gestellten Referate und geforderten gleichwertigen Leistungen anzufertigen.</w:t>
      </w:r>
    </w:p>
    <w:p>
      <w:r>
        <w:rPr>
          <w:color w:val="555555"/>
          <w:sz w:val="17"/>
        </w:rPr>
        <w:t xml:space="preserve">Zitiervorschlag: § 43 BayFachVBibl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https://recht.nulegal.eu/gesetze/BayFachVBibl/43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