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BayFachAkadAusbV (Bayern) — Inkrafttreten, Außerkrafttreten</w:t>
      </w:r>
    </w:p>
    <w:p>
      <w:r>
        <w:rPr>
          <w:color w:val="555555"/>
          <w:sz w:val="18"/>
        </w:rPr>
        <w:t xml:space="preserve">Verordnung über die Ausbildungsrichtungen und Fachrichtungen der Fachakademien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Diese Verordnung tritt am 1. August 1990 in Kraft.</w:t>
      </w:r>
    </w:p>
    <w:p>
      <w:r>
        <w:t xml:space="preserve">(2) Gleichzeitig tritt die Verordnung über die Ausbildungsrichtungen und Fachrichtungen der Fachakademien vom 23. Januar 1973 (BayRS 2236-9-2-K), zuletzt geändert durch Verordnung vom 13. Februar 1987 (GVBl S. 76, ber. S. 148), außer Kraft.</w:t>
      </w:r>
    </w:p>
    <w:p>
      <w:r>
        <w:rPr>
          <w:color w:val="555555"/>
          <w:sz w:val="17"/>
        </w:rPr>
        <w:t xml:space="preserve">Zitiervorschlag: § 3 BayFachAkadAusbV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https://recht.nulegal.eu/gesetze/BayFachAkadAusbV/3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