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BayFachAkadAusbV (Bayern) — Ausbildungsrichtungen</w:t>
      </w:r>
    </w:p>
    <w:p>
      <w:r>
        <w:rPr>
          <w:color w:val="555555"/>
          <w:sz w:val="18"/>
        </w:rPr>
        <w:t xml:space="preserve">Verordnung über die Ausbildungsrichtungen und Fachrichtungen der Fachakademien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Fachakademien können nur in folgenden Ausbildungsrichtungen errichtet und betrieben werden:</w:t>
      </w:r>
    </w:p>
    <w:p>
      <w:r>
        <w:t xml:space="preserve">1. Brau- und Getränketechnologie,</w:t>
      </w:r>
    </w:p>
    <w:p>
      <w:r>
        <w:t xml:space="preserve">2. Darstellende Kunst,</w:t>
      </w:r>
    </w:p>
    <w:p>
      <w:r>
        <w:t xml:space="preserve">3. Fremdsprachenberufe,</w:t>
      </w:r>
    </w:p>
    <w:p>
      <w:r>
        <w:t xml:space="preserve">4. Hauswirtschaft,</w:t>
      </w:r>
    </w:p>
    <w:p>
      <w:r>
        <w:t xml:space="preserve">5. Heilpädagogik,</w:t>
      </w:r>
    </w:p>
    <w:p>
      <w:r>
        <w:t xml:space="preserve">6. Medizintechnik,</w:t>
      </w:r>
    </w:p>
    <w:p>
      <w:r>
        <w:t xml:space="preserve">7. Raum- und Objektdesign,</w:t>
      </w:r>
    </w:p>
    <w:p>
      <w:r>
        <w:t xml:space="preserve">8. Restauratorenausbildung,</w:t>
      </w:r>
    </w:p>
    <w:p>
      <w:r>
        <w:t xml:space="preserve">9. Sozialpädagogik,</w:t>
      </w:r>
    </w:p>
    <w:p>
      <w:r>
        <w:t xml:space="preserve">10. Wirtschaft.</w:t>
      </w:r>
    </w:p>
    <w:p>
      <w:r>
        <w:t xml:space="preserve">(2) Innerhalb der Ausbildungsrichtungen dürfen Fachrichtungen nur geführt werden, wenn das Staatsministerium für Unterricht und Kultus sie festgelegt hat.</w:t>
      </w:r>
    </w:p>
    <w:p>
      <w:r>
        <w:rPr>
          <w:color w:val="555555"/>
          <w:sz w:val="17"/>
        </w:rPr>
        <w:t xml:space="preserve">Zitiervorschlag: § 2 BayFachAkadAusbV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https://recht.nulegal.eu/gesetze/BayFachAkadAusbV/2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