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BayFachAkadAusbV (Bayern) — Geltungsbereich</w:t>
      </w:r>
    </w:p>
    <w:p>
      <w:r>
        <w:rPr>
          <w:color w:val="555555"/>
          <w:sz w:val="18"/>
        </w:rPr>
        <w:t xml:space="preserve">Verordnung über die Ausbildungsrichtungen und Fachrichtungen der Fachakademien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alle öffentlichen und privaten Fachakademien im Geschäftsbereich des Staatsministeriums für Unterricht und Kultus.</w:t>
      </w:r>
    </w:p>
    <w:p>
      <w:r>
        <w:rPr>
          <w:color w:val="555555"/>
          <w:sz w:val="17"/>
        </w:rPr>
        <w:t xml:space="preserve">Zitiervorschlag: § 1 BayFachAkadAusbV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https://recht.nulegal.eu/gesetze/BayFachAkadAusbV/1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