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BayFHVR (Bayern)</w:t>
      </w:r>
    </w:p>
    <w:p>
      <w:r>
        <w:rPr>
          <w:color w:val="555555"/>
          <w:sz w:val="18"/>
        </w:rPr>
        <w:t xml:space="preserve">Erstattungsverordnung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Art. 3 Abs. 2 Satz 4, Abs. 3 Satz 3, Abs. 4 Satz 3 und Art. 25 des Gesetzes über die Fachhochschule für öffentliche Verwaltung und Rechtspflege in Bayern (BayFHVRG) in der Fassung der Bekanntmachung vom 9. Oktober 2003 (GVBl S. 818, BayRS 2030-1-3-F), geändert durch Art. 13 des Gesetzes vom 26. Juli 2005 (GVBl S. 287), erlässt das Bayerische Staatsministerium der Finanzen im Einvernehmen mit den Staatsministerien des Innern, der Justiz, für Wissenschaft, Forschung und Kunst und für Arbeit und Sozialordnung, Familie und Frauen folgende Verordnung:</w:t>
      </w:r>
    </w:p>
    <w:p>
      <w:r>
        <w:rPr>
          <w:color w:val="555555"/>
          <w:sz w:val="17"/>
        </w:rPr>
        <w:t xml:space="preserve">Zitiervorschlag: Eingangsformel BayFHVR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https://recht.nulegal.eu/gesetze/BayFHVR/eingangsformel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